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521327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653E5DD5" wp14:editId="24A29111">
            <wp:simplePos x="0" y="0"/>
            <wp:positionH relativeFrom="character">
              <wp:posOffset>-401320</wp:posOffset>
            </wp:positionH>
            <wp:positionV relativeFrom="line">
              <wp:posOffset>-14605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521327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213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</w:t>
            </w:r>
            <w:r w:rsidR="00521327" w:rsidRPr="00521327">
              <w:rPr>
                <w:rFonts w:eastAsia="Courier New" w:cs="Times New Roman"/>
                <w:color w:val="000000"/>
                <w:szCs w:val="28"/>
                <w:lang w:eastAsia="ru-RU"/>
              </w:rPr>
              <w:t>28 мая 2025 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521327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521327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D46F55">
        <w:rPr>
          <w:rFonts w:eastAsia="Times New Roman" w:cs="Times New Roman"/>
          <w:szCs w:val="28"/>
        </w:rPr>
        <w:t xml:space="preserve">по специальности  </w:t>
      </w:r>
    </w:p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D46F55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/>
          <w:bCs/>
          <w:szCs w:val="28"/>
        </w:rPr>
      </w:pPr>
      <w:r w:rsidRPr="00D46F55">
        <w:rPr>
          <w:rFonts w:eastAsia="Times New Roman" w:cs="Times New Roman"/>
          <w:b/>
          <w:bCs/>
          <w:szCs w:val="28"/>
        </w:rPr>
        <w:t>38.02.08 Торговое дело</w:t>
      </w: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  <w:r w:rsidRPr="00D46F55">
        <w:rPr>
          <w:rFonts w:eastAsia="Times New Roman" w:cs="Times New Roman"/>
          <w:bCs/>
          <w:szCs w:val="28"/>
        </w:rPr>
        <w:t>(направленность: Товароведение и продажа потребительских товаров)</w:t>
      </w: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/>
          <w:szCs w:val="28"/>
        </w:rPr>
      </w:pPr>
    </w:p>
    <w:p w:rsidR="00D46F55" w:rsidRPr="00D46F55" w:rsidRDefault="00D46F55" w:rsidP="00D46F55">
      <w:pPr>
        <w:widowControl/>
        <w:autoSpaceDE/>
        <w:autoSpaceDN/>
        <w:spacing w:line="276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D46F55">
        <w:rPr>
          <w:rFonts w:eastAsia="Times New Roman" w:cs="Times New Roman"/>
          <w:bCs/>
          <w:szCs w:val="28"/>
        </w:rPr>
        <w:t xml:space="preserve">квалификация выпускника: </w:t>
      </w:r>
    </w:p>
    <w:p w:rsidR="009726E1" w:rsidRPr="009726E1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46F55">
        <w:rPr>
          <w:rFonts w:eastAsia="Times New Roman" w:cs="Times New Roman"/>
          <w:bCs/>
          <w:szCs w:val="28"/>
        </w:rPr>
        <w:t>Специалист торгового дела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77474" w:rsidRPr="00377474" w:rsidRDefault="008F4FBB" w:rsidP="00377474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Год начала подготовки: 2025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21327" w:rsidRPr="009726E1" w:rsidRDefault="00521327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21327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>федерального государственного образовательного стандарта</w:t>
                  </w:r>
                  <w:r w:rsidR="00D46F55" w:rsidRPr="00D46F55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38.02.08 Торговое дело </w:t>
                  </w:r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>(направленность: Товароведение и продажа потребительских товаров)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19 июля 2023 г. № 548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="00521327">
        <w:rPr>
          <w:rFonts w:eastAsia="Courier New" w:cs="Times New Roman"/>
          <w:color w:val="000000"/>
          <w:szCs w:val="28"/>
          <w:lang w:eastAsia="ru-RU"/>
        </w:rPr>
        <w:t>от 28 мая 2025 г. № 10</w:t>
      </w:r>
      <w:r w:rsidR="00521327" w:rsidRPr="00521327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21327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CF3F932" wp14:editId="56ABBFD1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8F4FBB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8F4FBB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="00521327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</w:t>
      </w:r>
      <w:r w:rsidR="00521327">
        <w:rPr>
          <w:rFonts w:cs="Times New Roman"/>
          <w:szCs w:val="28"/>
        </w:rPr>
        <w:t>8</w:t>
      </w:r>
      <w:r w:rsidRPr="007A3702">
        <w:rPr>
          <w:rFonts w:cs="Times New Roman"/>
          <w:szCs w:val="28"/>
        </w:rPr>
        <w:t xml:space="preserve"> </w:t>
      </w:r>
      <w:r w:rsidR="00521327" w:rsidRPr="00521327">
        <w:rPr>
          <w:rFonts w:eastAsia="Times New Roman" w:cs="Times New Roman"/>
          <w:bCs/>
          <w:szCs w:val="28"/>
        </w:rPr>
        <w:t>Торговое дело</w:t>
      </w:r>
      <w:r w:rsidR="00521327">
        <w:rPr>
          <w:rFonts w:eastAsia="Times New Roman" w:cs="Times New Roman"/>
          <w:bCs/>
          <w:szCs w:val="28"/>
        </w:rPr>
        <w:t>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8F4FBB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</w:t>
            </w:r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E600CA">
              <w:rPr>
                <w:rFonts w:cs="Times New Roman"/>
                <w:szCs w:val="28"/>
              </w:rPr>
              <w:t xml:space="preserve"> .Особенности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8F4FBB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19" w:rsidRDefault="00EC5C19">
      <w:r>
        <w:separator/>
      </w:r>
    </w:p>
  </w:endnote>
  <w:endnote w:type="continuationSeparator" w:id="0">
    <w:p w:rsidR="00EC5C19" w:rsidRDefault="00E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8F4F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4FBB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8F4F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4FBB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8F4F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8F4F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4FBB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8F4F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4FBB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19" w:rsidRDefault="00EC5C19">
      <w:r>
        <w:separator/>
      </w:r>
    </w:p>
  </w:footnote>
  <w:footnote w:type="continuationSeparator" w:id="0">
    <w:p w:rsidR="00EC5C19" w:rsidRDefault="00E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B10B6"/>
    <w:rsid w:val="00302105"/>
    <w:rsid w:val="003339BB"/>
    <w:rsid w:val="003657EA"/>
    <w:rsid w:val="00377474"/>
    <w:rsid w:val="00392B38"/>
    <w:rsid w:val="003B233A"/>
    <w:rsid w:val="004B6C75"/>
    <w:rsid w:val="00521327"/>
    <w:rsid w:val="00550A29"/>
    <w:rsid w:val="00561C61"/>
    <w:rsid w:val="005A5540"/>
    <w:rsid w:val="00636B72"/>
    <w:rsid w:val="0067507D"/>
    <w:rsid w:val="006C5AB5"/>
    <w:rsid w:val="006F52EA"/>
    <w:rsid w:val="00713587"/>
    <w:rsid w:val="00764C04"/>
    <w:rsid w:val="00787B8A"/>
    <w:rsid w:val="007A3702"/>
    <w:rsid w:val="008360C9"/>
    <w:rsid w:val="00850874"/>
    <w:rsid w:val="008F4FBB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33D41"/>
    <w:rsid w:val="00C5142C"/>
    <w:rsid w:val="00CA1573"/>
    <w:rsid w:val="00D46F55"/>
    <w:rsid w:val="00D64977"/>
    <w:rsid w:val="00DE5791"/>
    <w:rsid w:val="00E5158D"/>
    <w:rsid w:val="00E600CA"/>
    <w:rsid w:val="00EC5C19"/>
    <w:rsid w:val="00F43E00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33</Pages>
  <Words>6920</Words>
  <Characters>39447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29</cp:revision>
  <cp:lastPrinted>2023-08-31T06:31:00Z</cp:lastPrinted>
  <dcterms:created xsi:type="dcterms:W3CDTF">2023-04-06T04:29:00Z</dcterms:created>
  <dcterms:modified xsi:type="dcterms:W3CDTF">2025-11-20T05:46:00Z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